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FDF" w:rsidRDefault="00063FDF" w:rsidP="00063FDF">
      <w:pPr>
        <w:pStyle w:val="1"/>
      </w:pPr>
      <w:r>
        <w:t>(1563-66-2)毒品) 呋喃丹的理化及危险特性表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25"/>
        <w:gridCol w:w="630"/>
        <w:gridCol w:w="1961"/>
        <w:gridCol w:w="2170"/>
      </w:tblGrid>
      <w:tr w:rsidR="00063FDF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szCs w:val="18"/>
              </w:rPr>
              <w:t>呋喃丹 </w:t>
            </w:r>
            <w:r>
              <w:rPr>
                <w:rFonts w:ascii="宋体" w:hAnsi="宋体"/>
                <w:szCs w:val="19"/>
              </w:rPr>
              <w:t>；</w:t>
            </w:r>
            <w:r>
              <w:rPr>
                <w:rFonts w:ascii="宋体" w:hAnsi="宋体" w:hint="eastAsia"/>
              </w:rPr>
              <w:t>克百威；卡巴呋喃；虫螨威</w:t>
            </w:r>
            <w:r>
              <w:rPr>
                <w:rFonts w:ascii="宋体" w:hAnsi="宋体" w:hint="eastAsia"/>
                <w:szCs w:val="18"/>
              </w:rPr>
              <w:t>。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</w:t>
            </w:r>
            <w:r>
              <w:rPr>
                <w:rFonts w:ascii="宋体" w:hAnsi="宋体" w:hint="eastAsia"/>
                <w:szCs w:val="18"/>
              </w:rPr>
              <w:t>Furadan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  <w:szCs w:val="18"/>
              </w:rPr>
              <w:t>Carbofuran。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12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15</w:t>
            </w:r>
            <w:r>
              <w:rPr>
                <w:rFonts w:ascii="宋体" w:hAnsi="宋体" w:hint="eastAsia"/>
                <w:szCs w:val="18"/>
              </w:rPr>
              <w:t>NO</w:t>
            </w:r>
            <w:r>
              <w:rPr>
                <w:rFonts w:ascii="宋体" w:hAnsi="宋体" w:hint="eastAsia"/>
                <w:szCs w:val="18"/>
                <w:vertAlign w:val="subscript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</w:t>
            </w:r>
            <w:r>
              <w:rPr>
                <w:rFonts w:ascii="宋体" w:hAnsi="宋体" w:hint="eastAsia"/>
                <w:szCs w:val="18"/>
              </w:rPr>
              <w:t>221.38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危规号：61889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t>1563-66-2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纯品为白色无臭结晶，工业品稍有苯酚气味。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宋体" w:hAnsi="宋体" w:hint="eastAsia"/>
                <w:szCs w:val="18"/>
              </w:rPr>
              <w:t>微溶于水，溶于多数有机溶剂。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</w:t>
            </w:r>
            <w:r>
              <w:rPr>
                <w:rFonts w:ascii="宋体" w:hAnsi="宋体" w:hint="eastAsia"/>
                <w:szCs w:val="18"/>
              </w:rPr>
              <w:t>153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</w:t>
            </w:r>
            <w:r>
              <w:rPr>
                <w:rFonts w:ascii="宋体" w:hAnsi="宋体" w:hint="eastAsia"/>
                <w:szCs w:val="18"/>
              </w:rPr>
              <w:t>1.18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063FDF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临界温度（℃）：无资料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临界压力（MPa）：无资料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闪点（℃）：无资料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稳定性：稳定 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聚合危害：不聚合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燃烧分解产物：</w:t>
            </w:r>
            <w:r>
              <w:rPr>
                <w:rFonts w:ascii="宋体" w:hAnsi="宋体" w:hint="eastAsia"/>
                <w:szCs w:val="18"/>
              </w:rPr>
              <w:t>一氧化碳、二氧化碳、氧化氮。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</w:t>
            </w:r>
            <w:r>
              <w:rPr>
                <w:rFonts w:ascii="宋体" w:hAnsi="宋体" w:hint="eastAsia"/>
                <w:szCs w:val="18"/>
              </w:rPr>
              <w:t>强氧化剂、碱类。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遇明火、高热可燃。受热分解放出有毒的氧化氮烟气。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消防人员须戴好防毒面具，在安全距离以外，在上风向灭火。灭火剂：雾状水、泡沫、干粉、二氧化碳、砂土。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5.3 mg/kg(大鼠经口)；885 mg/kg(兔经皮)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85ppm，2小时(哺乳类动物吸入)</w:t>
            </w:r>
          </w:p>
        </w:tc>
      </w:tr>
      <w:tr w:rsidR="00063FDF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063FDF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主要抑制体内胆碱酯酶活性，使乙酰胆碱在组织中蓄积而引起中毒。作用机制和有机磷农药中毒相似。中毒表现有流涎、流泪、瞳孔缩小及肌束震颤等。但与有机磷农药相比，抑制胆碱酯酶的作用持续的时间较短。停止接触后，胆碱酯酶恢复较快。 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皮肤接触：</w:t>
            </w:r>
            <w:r>
              <w:rPr>
                <w:rFonts w:ascii="宋体" w:hAnsi="宋体" w:hint="eastAsia"/>
                <w:szCs w:val="18"/>
              </w:rPr>
              <w:t xml:space="preserve">脱去污染的衣着，用大量流动清水冲洗。   </w:t>
            </w:r>
            <w:r>
              <w:rPr>
                <w:rFonts w:ascii="宋体" w:hAnsi="宋体" w:hint="eastAsia"/>
                <w:bCs/>
              </w:rPr>
              <w:t xml:space="preserve"> ※眼睛接触：</w:t>
            </w:r>
            <w:r>
              <w:rPr>
                <w:rFonts w:ascii="宋体" w:hAnsi="宋体" w:hint="eastAsia"/>
                <w:szCs w:val="18"/>
              </w:rPr>
              <w:t>提起眼睑，用流动清水或生理盐水冲洗。就医。</w:t>
            </w:r>
            <w:r>
              <w:rPr>
                <w:rFonts w:ascii="宋体" w:hAnsi="宋体" w:hint="eastAsia"/>
              </w:rPr>
              <w:t xml:space="preserve">    ※吸入：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 xml:space="preserve">   ※食入：</w:t>
            </w:r>
            <w:r>
              <w:rPr>
                <w:rFonts w:ascii="宋体" w:hAnsi="宋体" w:hint="eastAsia"/>
                <w:szCs w:val="18"/>
              </w:rPr>
              <w:t>饮足量温水，催吐。洗胃，导泄。就医。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密闭操作，局部排风。</w:t>
            </w:r>
            <w:r>
              <w:rPr>
                <w:rFonts w:ascii="宋体" w:hAnsi="宋体" w:hint="eastAsia"/>
              </w:rPr>
              <w:t xml:space="preserve">   ※呼吸系统防护：</w:t>
            </w:r>
            <w:r>
              <w:rPr>
                <w:rFonts w:ascii="宋体" w:hAnsi="宋体" w:hint="eastAsia"/>
                <w:szCs w:val="18"/>
              </w:rPr>
              <w:t>可能接触其粉尘时，必须佩戴防尘面具（全面罩）。紧急事态抢救或撤离时，应该佩戴空气呼吸器。</w:t>
            </w:r>
            <w:r>
              <w:rPr>
                <w:rFonts w:ascii="宋体" w:hAnsi="宋体" w:hint="eastAsia"/>
              </w:rPr>
              <w:t xml:space="preserve">    ※眼睛防护：</w:t>
            </w:r>
            <w:r>
              <w:rPr>
                <w:rFonts w:ascii="宋体" w:hAnsi="宋体" w:hint="eastAsia"/>
                <w:szCs w:val="18"/>
              </w:rPr>
              <w:t>呼吸系统防护中已作防护。</w:t>
            </w:r>
            <w:r>
              <w:rPr>
                <w:rFonts w:ascii="宋体" w:hAnsi="宋体" w:hint="eastAsia"/>
              </w:rPr>
              <w:t xml:space="preserve">    ※身体防护：</w:t>
            </w:r>
            <w:r>
              <w:rPr>
                <w:rFonts w:ascii="宋体" w:hAnsi="宋体" w:hint="eastAsia"/>
                <w:szCs w:val="18"/>
              </w:rPr>
              <w:t>穿胶布防毒衣。</w:t>
            </w:r>
            <w:r>
              <w:rPr>
                <w:rFonts w:ascii="宋体" w:hAnsi="宋体" w:hint="eastAsia"/>
              </w:rPr>
              <w:t xml:space="preserve">   ※手防护：</w:t>
            </w:r>
            <w:r>
              <w:rPr>
                <w:rFonts w:ascii="宋体" w:hAnsi="宋体" w:hint="eastAsia"/>
                <w:szCs w:val="18"/>
              </w:rPr>
              <w:t>戴橡胶手套。</w:t>
            </w:r>
            <w:r>
              <w:rPr>
                <w:rFonts w:ascii="宋体" w:hAnsi="宋体" w:hint="eastAsia"/>
              </w:rPr>
              <w:t xml:space="preserve">   ※其他：</w:t>
            </w:r>
            <w:r>
              <w:rPr>
                <w:rFonts w:ascii="宋体" w:hAnsi="宋体" w:hint="eastAsia"/>
                <w:szCs w:val="18"/>
              </w:rPr>
              <w:t>工作现场禁止吸烟、进食和饮水。工作完毕，淋浴更衣。保持良好的卫生习惯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隔离泄漏污染区，限制出入。切断火源。建议应急处理人员戴自给正压式呼吸器，穿防毒服。用洁净的铲子收集于干燥、洁净、有盖的容器中，转移至安全场所。若大量泄漏，收集回收或运至废物处理场所处置。</w:t>
            </w:r>
          </w:p>
        </w:tc>
      </w:tr>
      <w:tr w:rsidR="00063FD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DF" w:rsidRDefault="00063FDF" w:rsidP="0090435F">
            <w:pPr>
              <w:spacing w:line="312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储存于阴凉、通风的库房。远离火种、热源。应与氧化剂、碱类、食用化学品分开存放，切忌混储。配备相应品种和数量的消防器材。储区应备有合适的材料收容泄漏物。应严格执行极毒物品“五双”管理制度。</w:t>
            </w:r>
          </w:p>
          <w:p w:rsidR="00063FDF" w:rsidRDefault="00063FDF" w:rsidP="0090435F">
            <w:pPr>
              <w:spacing w:line="31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铁路运输时应严格按照铁道部《危险货物运输规则》中的危险货物配装表进行配装。运输前应先检查包装容器是否完整、密封，运输过程中要确保容器不泄漏、不倒塌、不坠落、不损坏。严禁与酸类、氧化剂、食品及食品添加剂混运。运输途中应防曝晒、雨淋，防高温。</w:t>
            </w:r>
          </w:p>
        </w:tc>
      </w:tr>
    </w:tbl>
    <w:p w:rsidR="00063FDF" w:rsidRDefault="00063FDF" w:rsidP="00063FDF">
      <w:r>
        <w:rPr>
          <w:rFonts w:hint="eastAsia"/>
        </w:rPr>
        <w:br w:type="page"/>
      </w:r>
    </w:p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DF"/>
    <w:rsid w:val="00063FDF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E1BC3-D5AC-4856-91CD-1DE86310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63FDF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63FDF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>zyhq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